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1A09" w14:textId="6F1087D7" w:rsidR="00C2192B" w:rsidRPr="00C2192B" w:rsidRDefault="00C2192B" w:rsidP="00C2192B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Wąbrzeźno </w:t>
      </w:r>
      <w:r w:rsidR="00A9194C">
        <w:rPr>
          <w:rFonts w:ascii="Times New Roman" w:eastAsia="Calibri" w:hAnsi="Times New Roman" w:cs="Times New Roman"/>
          <w:color w:val="000000"/>
          <w:sz w:val="24"/>
          <w:szCs w:val="24"/>
        </w:rPr>
        <w:t>23</w:t>
      </w: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.05.202</w:t>
      </w:r>
      <w:r w:rsidR="00A9194C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</w:p>
    <w:p w14:paraId="48AB0538" w14:textId="43FA5F86" w:rsidR="006F2255" w:rsidRDefault="00C2192B" w:rsidP="00C2192B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K.ZP.FC.333-6</w:t>
      </w:r>
      <w:r w:rsidR="00E25711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A9194C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</w:p>
    <w:p w14:paraId="7174B68A" w14:textId="4D840024" w:rsidR="00C2192B" w:rsidRPr="00C2192B" w:rsidRDefault="006F2255" w:rsidP="004203B4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E257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</w:t>
      </w:r>
    </w:p>
    <w:p w14:paraId="258BBB67" w14:textId="77777777" w:rsidR="00C2192B" w:rsidRPr="00C2192B" w:rsidRDefault="00C2192B" w:rsidP="00C2192B">
      <w:pPr>
        <w:spacing w:after="20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A12E37" w14:textId="77777777" w:rsidR="00C2192B" w:rsidRPr="00C2192B" w:rsidRDefault="00C2192B" w:rsidP="00C2192B">
      <w:pPr>
        <w:spacing w:after="20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C219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ZAPYTANIE OFERTOWE</w:t>
      </w:r>
    </w:p>
    <w:p w14:paraId="4E76DEFA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Zwracamy się z prośbą o przedstawienie oferty na </w:t>
      </w:r>
      <w:bookmarkStart w:id="0" w:name="_Hlk515615510"/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Pr="00C219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Świadczenie usług pralniczych polegających na praniu, dezynfekowaniu ( w komorze dezynfekującej), maglowaniu, prasowaniu, czyszczeniu chemicznemu bielizny pościelowej, kołder, poduszek, </w:t>
      </w:r>
      <w:proofErr w:type="spellStart"/>
      <w:r w:rsidRPr="00C219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kocy</w:t>
      </w:r>
      <w:proofErr w:type="spellEnd"/>
      <w:r w:rsidRPr="00C219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narzut, materacy, odzieży i bielizny osobistej Mieszkańców oraz odzieży roboczej pracowników Domu Pomocy Społecznej w Wąbrzeźnie </w:t>
      </w:r>
      <w:r w:rsidRPr="00C219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w oddzielnym procesie technologicznym. </w:t>
      </w:r>
    </w:p>
    <w:bookmarkEnd w:id="0"/>
    <w:p w14:paraId="41550558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Ogólne wymagania dotyczące usługi:</w:t>
      </w:r>
    </w:p>
    <w:p w14:paraId="75BAE9B7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1" w:name="_Hlk103935968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pranie wraz z pełnym spektrum dezynfekcji nastąpi w ciągu 48 godzin,</w:t>
      </w:r>
    </w:p>
    <w:p w14:paraId="1EA50F23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czyszczenie chemiczne:</w:t>
      </w:r>
    </w:p>
    <w:p w14:paraId="3D427CB8" w14:textId="77777777" w:rsidR="00C2192B" w:rsidRPr="00C2192B" w:rsidRDefault="00C2192B" w:rsidP="00C2192B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czyszczenie chemiczne bielizny i odzieży, która ze względu na skład surowcowy nie  może podlegać praniu wodnemu. Czyszczenie chemiczne odbywa się w najnowocześniejszej technologii mającej  właściwości dezynfekcyjne i antystatyczne. Chemiczne środki czyszczące nie zawierają halogenów i nie są szkodliwe dla ludzi i środowiska</w:t>
      </w:r>
    </w:p>
    <w:p w14:paraId="3AB771DD" w14:textId="77777777" w:rsidR="00C2192B" w:rsidRPr="00C2192B" w:rsidRDefault="00C2192B" w:rsidP="00C2192B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dezynfekcja materacy, pokrowców na materace,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, narzut.</w:t>
      </w:r>
    </w:p>
    <w:p w14:paraId="2A980F04" w14:textId="77777777" w:rsidR="00C2192B" w:rsidRPr="00C2192B" w:rsidRDefault="00C2192B" w:rsidP="00C2192B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usługi dezynfekcji materacy, pokrowców na materace,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narzut wykonywane w specjalistycznej komorze dezynfekcyjnej z wbudowanym rejestratorem i drukarką parametrów procesu dezynfekcji, każdy cykl potwierdzony osobnym wydrukiem,</w:t>
      </w:r>
    </w:p>
    <w:p w14:paraId="2684DD3A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suszenie,</w:t>
      </w:r>
    </w:p>
    <w:p w14:paraId="5227CC91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maglowanie, prasowanie,</w:t>
      </w:r>
    </w:p>
    <w:p w14:paraId="5BDFAFFD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składanie i pakowanie,</w:t>
      </w:r>
    </w:p>
    <w:p w14:paraId="2F6F6A88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segregacja i rozdzielenie asortymentu według potrzeb klienta,</w:t>
      </w:r>
    </w:p>
    <w:p w14:paraId="6056B347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drobne naprawy krawieckie,</w:t>
      </w:r>
    </w:p>
    <w:p w14:paraId="79289CC1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odbiór i dostawa bielizny odbywać się będzie co drugi dzień tj. poniedziałek, środa, piątek lub według innego wspólnie przez strony wypracowanego harmonogramu,  w godzinach ustalonych ze zleceniobiorcą,</w:t>
      </w:r>
    </w:p>
    <w:p w14:paraId="2612A2E2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odbiór brudnej odzieży, bielizny osobistej, bielizny pościelowej, materacy, pokrowców na materace,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 narzut  oraz dostawa wypranej, zdezynfekowanej odzieży, bielizny osobistej, bielizny pościelowej, materacy, pokrowców na materace,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, narzut odbywa się na podstawie pisemnej specyfikacji potwierdzonej przez Dom Pomocy Społecznej i zleceniobiorcę,</w:t>
      </w:r>
    </w:p>
    <w:p w14:paraId="33FF7ADD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transport odzieży ma się odbywać samochodami zleceniobiorcy do transportu bielizny posiadającymi podzielone skrzynie ładunkowe na komory do bielizny brudnej i czystej na trasie Dom Pomocy Społecznej w Wąbrzeźnie – Pralnia – Dom Pomocy Społecznej w Wąbrzeźnie,</w:t>
      </w:r>
    </w:p>
    <w:p w14:paraId="6B19440D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zamawiający wymaga, aby pralnia w której będą świadczone usługi dla zamawiającego posiadała wdrożony i certyfikowany system zarządzania higieną w </w:t>
      </w: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pralniach zgodny  z normą PN-EN 14065 RABC analiza ryzyka i kontrola skażeń biologicznych.</w:t>
      </w:r>
    </w:p>
    <w:p w14:paraId="4354A9C6" w14:textId="77777777" w:rsidR="00C2192B" w:rsidRPr="00C2192B" w:rsidRDefault="00C2192B" w:rsidP="00C2192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B">
        <w:rPr>
          <w:rFonts w:ascii="Times New Roman" w:eastAsia="Calibri" w:hAnsi="Times New Roman" w:cs="Times New Roman"/>
          <w:sz w:val="24"/>
          <w:szCs w:val="24"/>
        </w:rPr>
        <w:t xml:space="preserve">Szczegółowe wymagania dotyczące usługi: </w:t>
      </w:r>
    </w:p>
    <w:p w14:paraId="2201DEEF" w14:textId="77777777" w:rsidR="00C2192B" w:rsidRPr="00C2192B" w:rsidRDefault="00C2192B" w:rsidP="00C2192B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B">
        <w:rPr>
          <w:rFonts w:ascii="Times New Roman" w:eastAsia="Calibri" w:hAnsi="Times New Roman" w:cs="Times New Roman"/>
          <w:sz w:val="24"/>
          <w:szCs w:val="24"/>
        </w:rPr>
        <w:t xml:space="preserve">Stan jakości prania nie powinien budzić zastrzeżeń, w szczególności dotyczy to: </w:t>
      </w:r>
    </w:p>
    <w:p w14:paraId="3CD22DAC" w14:textId="77777777" w:rsidR="00C2192B" w:rsidRPr="00C2192B" w:rsidRDefault="00C2192B" w:rsidP="00C2192B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B">
        <w:rPr>
          <w:rFonts w:ascii="Times New Roman" w:eastAsia="Calibri" w:hAnsi="Times New Roman" w:cs="Times New Roman"/>
          <w:sz w:val="24"/>
          <w:szCs w:val="24"/>
        </w:rPr>
        <w:t xml:space="preserve">- sortowania odzieży, prasowania odzieży, prawidłowego maglowania w odpowiedniej temperaturze, zwrotu kompletnej odzieży, bielizny pościelowej, bielizny osobistej, materacy,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</w:rPr>
        <w:t xml:space="preserve"> zgodnie ze specyfikacjami wysłanego asortymentu do prania, zachowania koloru białego w wysyłanej bieliźnie i odzieży mieszkańców, prawidłowej segregacji – niedopuszczalne jest przysyłanie bielizny pościelowej, bielizny i odzieży mieszkańców z innych domów pomocy społecznej lub innych instytucji.   </w:t>
      </w:r>
    </w:p>
    <w:p w14:paraId="662EF7D3" w14:textId="77777777" w:rsidR="00C2192B" w:rsidRPr="00C2192B" w:rsidRDefault="00C2192B" w:rsidP="00C2192B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19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sytuacji ogłoszonego stanu epidemii i związanymi z tym zaleceniami sanitarnymi – ilość kilogramów asortymentu przesłanego do pralni może ulec zmianie.     </w:t>
      </w:r>
    </w:p>
    <w:p w14:paraId="32E63969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>Termin realizacji zamówienia – 1 rok od daty zawarcia umowy</w:t>
      </w:r>
    </w:p>
    <w:p w14:paraId="4535503B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Kryterium oceny ofert – Cena 100% </w:t>
      </w:r>
    </w:p>
    <w:p w14:paraId="2953AE2B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>Inne istotne warunki zamówienia (wzór przyszłej umowy w załączeniu).</w:t>
      </w:r>
    </w:p>
    <w:p w14:paraId="0A4D6D15" w14:textId="2A7E05A0" w:rsidR="00C2192B" w:rsidRPr="00C2192B" w:rsidRDefault="00C2192B" w:rsidP="00C2192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Ofertę prosimy przesłać w nieprzekraczalnym terminie do </w:t>
      </w:r>
      <w:r w:rsidRPr="00C219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dnia 0</w:t>
      </w:r>
      <w:r w:rsidR="002D13D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C219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C219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06.202</w:t>
      </w:r>
      <w:r w:rsidR="002D13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 na adres: Dom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C2192B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87- 200 Wąbrzeźno lub na adres e-mailowy: </w:t>
      </w:r>
      <w:hyperlink r:id="rId7" w:history="1">
        <w:r w:rsidRPr="00C219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dpswabrzezno@torun.home.pl</w:t>
        </w:r>
      </w:hyperlink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dopiskiem </w:t>
      </w:r>
      <w:r w:rsidRPr="00C219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„Oferta na ś</w:t>
      </w:r>
      <w:r w:rsidRPr="00C219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wiadczenie usług pralniczych polegających na praniu, dezynfekowaniu (w komorze dezynfekującej), maglowaniu, prasowaniu, czyszczeniu chemicznemu bielizny pościelowej, kołder, poduszek, </w:t>
      </w:r>
      <w:proofErr w:type="spellStart"/>
      <w:r w:rsidRPr="00C219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kocy</w:t>
      </w:r>
      <w:proofErr w:type="spellEnd"/>
      <w:r w:rsidRPr="00C219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, narzut, materacy, odzieży i bielizny osobistej Mieszkańców oraz odzieży roboczej pracowników Domu Pomocy Społecznej w Wąbrzeźnie</w:t>
      </w:r>
    </w:p>
    <w:tbl>
      <w:tblPr>
        <w:tblW w:w="9002" w:type="dxa"/>
        <w:tblInd w:w="-12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02"/>
        <w:gridCol w:w="1080"/>
        <w:gridCol w:w="900"/>
        <w:gridCol w:w="720"/>
        <w:gridCol w:w="720"/>
        <w:gridCol w:w="1620"/>
        <w:gridCol w:w="1080"/>
        <w:gridCol w:w="1080"/>
      </w:tblGrid>
      <w:tr w:rsidR="00C2192B" w:rsidRPr="00C2192B" w14:paraId="144FA353" w14:textId="77777777" w:rsidTr="0027705F">
        <w:trPr>
          <w:trHeight w:val="377"/>
        </w:trPr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75E80B7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5F7CCE43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   Nazwa usługi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201BBC0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Szacunkowa roczna ilość prania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78CA5AB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Cena jedn. netto 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C2192B">
                <w:rPr>
                  <w:rFonts w:ascii="Arial Narrow" w:eastAsia="Calibri" w:hAnsi="Arial Narrow" w:cs="Arial"/>
                  <w:b/>
                  <w:sz w:val="20"/>
                  <w:szCs w:val="20"/>
                </w:rPr>
                <w:t>1 kg</w:t>
              </w:r>
            </w:smartTag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  (zł)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9BC60B2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VAT </w:t>
            </w: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AD662C2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D977AFF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Cena jedn. brutto 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C2192B">
                <w:rPr>
                  <w:rFonts w:ascii="Arial Narrow" w:eastAsia="Calibri" w:hAnsi="Arial Narrow" w:cs="Arial"/>
                  <w:b/>
                  <w:sz w:val="20"/>
                  <w:szCs w:val="20"/>
                </w:rPr>
                <w:t>1 kg</w:t>
              </w:r>
            </w:smartTag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 (zł)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75696A0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0FDD5A0F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Wartość netto za 1 rok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9D4B470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301AEF00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Wartość brutto za 1 rok</w:t>
            </w:r>
          </w:p>
        </w:tc>
      </w:tr>
      <w:tr w:rsidR="00C2192B" w:rsidRPr="00C2192B" w14:paraId="1ED68622" w14:textId="77777777" w:rsidTr="0027705F">
        <w:trPr>
          <w:trHeight w:val="680"/>
        </w:trPr>
        <w:tc>
          <w:tcPr>
            <w:tcW w:w="1802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E397633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192B">
              <w:rPr>
                <w:rFonts w:ascii="Arial" w:eastAsia="Calibri" w:hAnsi="Arial" w:cs="Arial"/>
                <w:b/>
                <w:sz w:val="20"/>
                <w:szCs w:val="20"/>
              </w:rPr>
              <w:t>Kompleksowa usługa pralnicza</w:t>
            </w:r>
          </w:p>
          <w:p w14:paraId="0D787492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11CCA0C" w14:textId="12E4DC5C" w:rsidR="00C2192B" w:rsidRPr="00C2192B" w:rsidRDefault="002D13D4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C2192B" w:rsidRPr="00C2192B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777</w:t>
            </w:r>
            <w:r w:rsidR="00C2192B" w:rsidRPr="00C2192B">
              <w:rPr>
                <w:rFonts w:ascii="Arial" w:eastAsia="Calibri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880135D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473AAEE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471459F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88EACF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A4DF63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1AD127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6E48C56" w14:textId="77777777" w:rsidR="00C2192B" w:rsidRPr="00C2192B" w:rsidRDefault="00C2192B" w:rsidP="00C2192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1"/>
    <w:p w14:paraId="202E9ED4" w14:textId="77777777" w:rsidR="00C2192B" w:rsidRPr="00C2192B" w:rsidRDefault="00C2192B" w:rsidP="00C2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proszę o kontakt:</w:t>
      </w:r>
    </w:p>
    <w:p w14:paraId="378FDCFE" w14:textId="012C36DC" w:rsidR="00C2192B" w:rsidRPr="00C2192B" w:rsidRDefault="00C2192B" w:rsidP="00C2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sprawy dotyczące wymogów zamówienia – K. Łęgowska  56 688 03 71 wew. </w:t>
      </w:r>
      <w:r w:rsidR="002D13D4">
        <w:rPr>
          <w:rFonts w:ascii="Times New Roman" w:eastAsia="Times New Roman" w:hAnsi="Times New Roman" w:cs="Times New Roman"/>
          <w:sz w:val="20"/>
          <w:szCs w:val="20"/>
          <w:lang w:eastAsia="pl-PL"/>
        </w:rPr>
        <w:t>41</w:t>
      </w:r>
    </w:p>
    <w:p w14:paraId="213236EE" w14:textId="5E881F80" w:rsidR="00F170C3" w:rsidRDefault="00C2192B" w:rsidP="002D13D4">
      <w:pPr>
        <w:spacing w:after="200" w:line="276" w:lineRule="auto"/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>- sprawy proceduralne – K. Fic 56 471 99 62</w:t>
      </w:r>
    </w:p>
    <w:sectPr w:rsidR="00F170C3" w:rsidSect="003D3E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30ED" w14:textId="77777777" w:rsidR="00E337EC" w:rsidRDefault="00E337EC">
      <w:pPr>
        <w:spacing w:after="0" w:line="240" w:lineRule="auto"/>
      </w:pPr>
      <w:r>
        <w:separator/>
      </w:r>
    </w:p>
  </w:endnote>
  <w:endnote w:type="continuationSeparator" w:id="0">
    <w:p w14:paraId="7EEE3A8F" w14:textId="77777777" w:rsidR="00E337EC" w:rsidRDefault="00E3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3D87" w14:textId="77777777" w:rsidR="0048431A" w:rsidRDefault="00C2192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F7D1F76" w14:textId="77777777" w:rsidR="0048431A" w:rsidRDefault="00E337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9D27" w14:textId="77777777" w:rsidR="00E337EC" w:rsidRDefault="00E337EC">
      <w:pPr>
        <w:spacing w:after="0" w:line="240" w:lineRule="auto"/>
      </w:pPr>
      <w:r>
        <w:separator/>
      </w:r>
    </w:p>
  </w:footnote>
  <w:footnote w:type="continuationSeparator" w:id="0">
    <w:p w14:paraId="1D8BA185" w14:textId="77777777" w:rsidR="00E337EC" w:rsidRDefault="00E3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FDFF" w14:textId="77777777" w:rsidR="0048431A" w:rsidRDefault="00E337EC">
    <w:pPr>
      <w:pStyle w:val="Nagwek"/>
      <w:jc w:val="right"/>
    </w:pPr>
  </w:p>
  <w:p w14:paraId="59B2C001" w14:textId="77777777" w:rsidR="0048431A" w:rsidRDefault="00E337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F1F11"/>
    <w:multiLevelType w:val="hybridMultilevel"/>
    <w:tmpl w:val="EF4CC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53D7E"/>
    <w:multiLevelType w:val="hybridMultilevel"/>
    <w:tmpl w:val="122A3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632F8A"/>
    <w:multiLevelType w:val="hybridMultilevel"/>
    <w:tmpl w:val="E92E1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819701">
    <w:abstractNumId w:val="2"/>
  </w:num>
  <w:num w:numId="2" w16cid:durableId="1403215155">
    <w:abstractNumId w:val="0"/>
  </w:num>
  <w:num w:numId="3" w16cid:durableId="69438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2B"/>
    <w:rsid w:val="00267FE0"/>
    <w:rsid w:val="002D13D4"/>
    <w:rsid w:val="004203B4"/>
    <w:rsid w:val="006F2255"/>
    <w:rsid w:val="00A9194C"/>
    <w:rsid w:val="00C2192B"/>
    <w:rsid w:val="00E25711"/>
    <w:rsid w:val="00E337EC"/>
    <w:rsid w:val="00F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9883D1"/>
  <w15:chartTrackingRefBased/>
  <w15:docId w15:val="{881BD993-67A6-4DBD-A1A0-2D9B9C30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21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92B"/>
  </w:style>
  <w:style w:type="paragraph" w:styleId="Stopka">
    <w:name w:val="footer"/>
    <w:basedOn w:val="Normalny"/>
    <w:link w:val="StopkaZnak"/>
    <w:uiPriority w:val="99"/>
    <w:semiHidden/>
    <w:unhideWhenUsed/>
    <w:rsid w:val="00C21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swabrzezno@torun.hom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</cp:revision>
  <cp:lastPrinted>2022-05-20T08:41:00Z</cp:lastPrinted>
  <dcterms:created xsi:type="dcterms:W3CDTF">2022-05-20T08:10:00Z</dcterms:created>
  <dcterms:modified xsi:type="dcterms:W3CDTF">2022-05-20T08:54:00Z</dcterms:modified>
</cp:coreProperties>
</file>